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</w:pPr>
      <w:r>
        <w:rPr>
          <w:color w:val="1F497D"/>
        </w:rPr>
        <w:t> </w:t>
      </w:r>
      <w:r>
        <w:rPr>
          <w:b/>
          <w:lang w:val="en-US"/>
        </w:rPr>
        <w:t>Product name :</w:t>
      </w:r>
      <w:r>
        <w:rPr/>
        <w:t xml:space="preserve"> </w:t>
      </w:r>
      <w:r>
        <w:rPr>
          <w:lang w:val="en-US"/>
        </w:rPr>
        <w:t>Cobalt Acetate ( food grade ) as per SPEC below</w:t>
      </w:r>
    </w:p>
    <w:p>
      <w:pPr>
        <w:pStyle w:val="style16"/>
      </w:pPr>
      <w:r>
        <w:rPr>
          <w:b/>
          <w:sz w:val="23"/>
        </w:rPr>
        <w:t xml:space="preserve">PRODUCT CODE </w:t>
      </w:r>
      <w:r>
        <w:rPr>
          <w:sz w:val="23"/>
        </w:rPr>
        <w:t xml:space="preserve">100074 </w:t>
      </w:r>
    </w:p>
    <w:p>
      <w:pPr>
        <w:pStyle w:val="style16"/>
      </w:pPr>
      <w:r>
        <w:rPr>
          <w:b/>
          <w:sz w:val="23"/>
        </w:rPr>
        <w:t xml:space="preserve">IDENTIFICATION </w:t>
      </w:r>
    </w:p>
    <w:p>
      <w:pPr>
        <w:pStyle w:val="style16"/>
      </w:pPr>
      <w:r>
        <w:rPr>
          <w:sz w:val="23"/>
          <w:lang w:val="en-GB"/>
        </w:rPr>
        <w:t>Chemical formula Co(CH</w:t>
      </w:r>
      <w:r>
        <w:rPr>
          <w:sz w:val="16"/>
          <w:lang w:val="en-GB"/>
        </w:rPr>
        <w:t>3</w:t>
      </w:r>
      <w:r>
        <w:rPr>
          <w:sz w:val="23"/>
          <w:lang w:val="en-GB"/>
        </w:rPr>
        <w:t>COO)</w:t>
      </w:r>
      <w:r>
        <w:rPr>
          <w:sz w:val="16"/>
          <w:lang w:val="en-GB"/>
        </w:rPr>
        <w:t>2</w:t>
      </w:r>
      <w:r>
        <w:rPr>
          <w:rFonts w:ascii="Arial;sans-serif" w:hAnsi="Arial;sans-serif"/>
          <w:sz w:val="22"/>
          <w:lang w:val="en-GB"/>
        </w:rPr>
        <w:t>·</w:t>
      </w:r>
      <w:r>
        <w:rPr>
          <w:sz w:val="23"/>
          <w:lang w:val="en-GB"/>
        </w:rPr>
        <w:t>4H</w:t>
      </w:r>
      <w:r>
        <w:rPr>
          <w:sz w:val="16"/>
          <w:lang w:val="en-GB"/>
        </w:rPr>
        <w:t>2</w:t>
      </w:r>
      <w:r>
        <w:rPr>
          <w:sz w:val="23"/>
          <w:lang w:val="en-GB"/>
        </w:rPr>
        <w:t xml:space="preserve">O </w:t>
      </w:r>
    </w:p>
    <w:p>
      <w:pPr>
        <w:pStyle w:val="style16"/>
      </w:pPr>
      <w:r>
        <w:rPr>
          <w:sz w:val="23"/>
          <w:lang w:val="en-GB"/>
        </w:rPr>
        <w:t xml:space="preserve">IUPAC name Cobalt(II) acetate tetrahydrate </w:t>
      </w:r>
    </w:p>
    <w:p>
      <w:pPr>
        <w:pStyle w:val="style16"/>
      </w:pPr>
      <w:r>
        <w:rPr>
          <w:sz w:val="23"/>
          <w:lang w:val="en-GB"/>
        </w:rPr>
        <w:t xml:space="preserve">CAS No. 6147-53-1 </w:t>
      </w:r>
    </w:p>
    <w:p>
      <w:pPr>
        <w:pStyle w:val="style16"/>
      </w:pPr>
      <w:r>
        <w:rPr>
          <w:sz w:val="23"/>
          <w:lang w:val="en-GB"/>
        </w:rPr>
        <w:t xml:space="preserve">EINECS No. 200-755-8 </w:t>
      </w:r>
    </w:p>
    <w:p>
      <w:pPr>
        <w:pStyle w:val="style16"/>
      </w:pPr>
      <w:r>
        <w:rPr>
          <w:sz w:val="23"/>
          <w:lang w:val="en-GB"/>
        </w:rPr>
        <w:t xml:space="preserve">REACH Registration No. 01-2119517446-39-0000 </w:t>
      </w:r>
    </w:p>
    <w:p>
      <w:pPr>
        <w:pStyle w:val="style16"/>
      </w:pPr>
      <w:r>
        <w:rPr>
          <w:sz w:val="23"/>
          <w:lang w:val="en-GB"/>
        </w:rPr>
        <w:t xml:space="preserve">Feed additive according to Regulation (EC) No 1831/2003 </w:t>
      </w:r>
    </w:p>
    <w:p>
      <w:pPr>
        <w:pStyle w:val="style16"/>
      </w:pPr>
      <w:r>
        <w:rPr>
          <w:sz w:val="23"/>
          <w:lang w:val="en-GB"/>
        </w:rPr>
        <w:t xml:space="preserve">Additive category Nutritional </w:t>
      </w:r>
    </w:p>
    <w:p>
      <w:pPr>
        <w:pStyle w:val="style16"/>
      </w:pPr>
      <w:r>
        <w:rPr>
          <w:sz w:val="23"/>
          <w:lang w:val="en-GB"/>
        </w:rPr>
        <w:t xml:space="preserve">Functional group &amp; Specific name Trace elements, Cobaltous acetate, tetra-hydrate, E 3 </w:t>
      </w:r>
    </w:p>
    <w:p>
      <w:pPr>
        <w:pStyle w:val="style16"/>
      </w:pPr>
      <w:r>
        <w:rPr>
          <w:sz w:val="23"/>
          <w:lang w:val="en-GB"/>
        </w:rPr>
        <w:t xml:space="preserve">Approval number αFI12220051 </w:t>
      </w:r>
    </w:p>
    <w:tbl>
      <w:tblPr>
        <w:jc w:val="left"/>
        <w:tblBorders/>
      </w:tblPr>
      <w:tblGrid>
        <w:gridCol w:w="3812"/>
        <w:gridCol w:w="1160"/>
        <w:gridCol w:w="480"/>
      </w:tblGrid>
      <w:tr>
        <w:trPr>
          <w:cantSplit w:val="false"/>
        </w:trPr>
        <w:tc>
          <w:tcPr>
            <w:tcW w:type="dxa" w:w="381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b/>
                <w:sz w:val="23"/>
                <w:lang w:val="en-GB"/>
              </w:rPr>
              <w:t xml:space="preserve">SPECIFICATION </w:t>
            </w:r>
            <w:r>
              <w:rPr>
                <w:sz w:val="23"/>
                <w:lang w:val="en-GB"/>
              </w:rPr>
              <w:t xml:space="preserve">Chemical Properties </w:t>
            </w:r>
          </w:p>
        </w:tc>
        <w:tc>
          <w:tcPr>
            <w:tcW w:type="dxa" w:w="11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OMG value </w:t>
            </w:r>
          </w:p>
        </w:tc>
        <w:tc>
          <w:tcPr>
            <w:tcW w:type="dxa" w:w="4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Unit </w:t>
            </w:r>
          </w:p>
        </w:tc>
      </w:tr>
      <w:tr>
        <w:trPr>
          <w:cantSplit w:val="false"/>
        </w:trPr>
        <w:tc>
          <w:tcPr>
            <w:tcW w:type="dxa" w:w="381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Cobalt (Co) </w:t>
            </w:r>
          </w:p>
        </w:tc>
        <w:tc>
          <w:tcPr>
            <w:tcW w:type="dxa" w:w="11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/>
              <w:t xml:space="preserve">≥ </w:t>
            </w:r>
            <w:r>
              <w:rPr>
                <w:sz w:val="23"/>
                <w:lang w:val="en-GB"/>
              </w:rPr>
              <w:t xml:space="preserve">23,5 </w:t>
            </w:r>
          </w:p>
        </w:tc>
        <w:tc>
          <w:tcPr>
            <w:tcW w:type="dxa" w:w="4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% </w:t>
            </w:r>
          </w:p>
        </w:tc>
      </w:tr>
      <w:tr>
        <w:trPr>
          <w:cantSplit w:val="false"/>
        </w:trPr>
        <w:tc>
          <w:tcPr>
            <w:tcW w:type="dxa" w:w="381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Nickel (Ni) </w:t>
            </w:r>
          </w:p>
        </w:tc>
        <w:tc>
          <w:tcPr>
            <w:tcW w:type="dxa" w:w="11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&lt; 0,0050 </w:t>
            </w:r>
          </w:p>
        </w:tc>
        <w:tc>
          <w:tcPr>
            <w:tcW w:type="dxa" w:w="4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% </w:t>
            </w:r>
          </w:p>
        </w:tc>
      </w:tr>
      <w:tr>
        <w:trPr>
          <w:cantSplit w:val="false"/>
        </w:trPr>
        <w:tc>
          <w:tcPr>
            <w:tcW w:type="dxa" w:w="381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Iron (Fe) </w:t>
            </w:r>
          </w:p>
        </w:tc>
        <w:tc>
          <w:tcPr>
            <w:tcW w:type="dxa" w:w="11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&lt; 0,0050 </w:t>
            </w:r>
          </w:p>
        </w:tc>
        <w:tc>
          <w:tcPr>
            <w:tcW w:type="dxa" w:w="4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% </w:t>
            </w:r>
          </w:p>
        </w:tc>
      </w:tr>
      <w:tr>
        <w:trPr>
          <w:cantSplit w:val="false"/>
        </w:trPr>
        <w:tc>
          <w:tcPr>
            <w:tcW w:type="dxa" w:w="381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Copper (Cu) </w:t>
            </w:r>
          </w:p>
        </w:tc>
        <w:tc>
          <w:tcPr>
            <w:tcW w:type="dxa" w:w="11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&lt; 0,0020 </w:t>
            </w:r>
          </w:p>
        </w:tc>
        <w:tc>
          <w:tcPr>
            <w:tcW w:type="dxa" w:w="4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% </w:t>
            </w:r>
          </w:p>
        </w:tc>
      </w:tr>
      <w:tr>
        <w:trPr>
          <w:cantSplit w:val="false"/>
        </w:trPr>
        <w:tc>
          <w:tcPr>
            <w:tcW w:type="dxa" w:w="381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Zinc (Zn) </w:t>
            </w:r>
          </w:p>
        </w:tc>
        <w:tc>
          <w:tcPr>
            <w:tcW w:type="dxa" w:w="11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&lt; 0,0020 </w:t>
            </w:r>
          </w:p>
        </w:tc>
        <w:tc>
          <w:tcPr>
            <w:tcW w:type="dxa" w:w="4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% </w:t>
            </w:r>
          </w:p>
        </w:tc>
      </w:tr>
      <w:tr>
        <w:trPr>
          <w:cantSplit w:val="false"/>
        </w:trPr>
        <w:tc>
          <w:tcPr>
            <w:tcW w:type="dxa" w:w="381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Manganese (Mn) </w:t>
            </w:r>
          </w:p>
        </w:tc>
        <w:tc>
          <w:tcPr>
            <w:tcW w:type="dxa" w:w="11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&lt; 0,0050 </w:t>
            </w:r>
          </w:p>
        </w:tc>
        <w:tc>
          <w:tcPr>
            <w:tcW w:type="dxa" w:w="4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% </w:t>
            </w:r>
          </w:p>
        </w:tc>
      </w:tr>
      <w:tr>
        <w:trPr>
          <w:cantSplit w:val="false"/>
        </w:trPr>
        <w:tc>
          <w:tcPr>
            <w:tcW w:type="dxa" w:w="381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Sodium (Na) </w:t>
            </w:r>
          </w:p>
        </w:tc>
        <w:tc>
          <w:tcPr>
            <w:tcW w:type="dxa" w:w="11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&lt; 0,0050 </w:t>
            </w:r>
          </w:p>
        </w:tc>
        <w:tc>
          <w:tcPr>
            <w:tcW w:type="dxa" w:w="4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% </w:t>
            </w:r>
          </w:p>
        </w:tc>
      </w:tr>
      <w:tr>
        <w:trPr>
          <w:cantSplit w:val="false"/>
        </w:trPr>
        <w:tc>
          <w:tcPr>
            <w:tcW w:type="dxa" w:w="381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Magnesium (Mg) </w:t>
            </w:r>
          </w:p>
        </w:tc>
        <w:tc>
          <w:tcPr>
            <w:tcW w:type="dxa" w:w="11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&lt; 0,0020 </w:t>
            </w:r>
          </w:p>
        </w:tc>
        <w:tc>
          <w:tcPr>
            <w:tcW w:type="dxa" w:w="4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% </w:t>
            </w:r>
          </w:p>
        </w:tc>
      </w:tr>
      <w:tr>
        <w:trPr>
          <w:cantSplit w:val="false"/>
        </w:trPr>
        <w:tc>
          <w:tcPr>
            <w:tcW w:type="dxa" w:w="381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Calcium (Ca) </w:t>
            </w:r>
          </w:p>
        </w:tc>
        <w:tc>
          <w:tcPr>
            <w:tcW w:type="dxa" w:w="11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&lt; 0,0020 </w:t>
            </w:r>
          </w:p>
        </w:tc>
        <w:tc>
          <w:tcPr>
            <w:tcW w:type="dxa" w:w="4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% </w:t>
            </w:r>
          </w:p>
        </w:tc>
      </w:tr>
      <w:tr>
        <w:trPr>
          <w:cantSplit w:val="false"/>
        </w:trPr>
        <w:tc>
          <w:tcPr>
            <w:tcW w:type="dxa" w:w="381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Aluminium (Al) </w:t>
            </w:r>
          </w:p>
        </w:tc>
        <w:tc>
          <w:tcPr>
            <w:tcW w:type="dxa" w:w="11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&lt; 0,0020 </w:t>
            </w:r>
          </w:p>
        </w:tc>
        <w:tc>
          <w:tcPr>
            <w:tcW w:type="dxa" w:w="4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% </w:t>
            </w:r>
          </w:p>
        </w:tc>
      </w:tr>
      <w:tr>
        <w:trPr>
          <w:cantSplit w:val="false"/>
        </w:trPr>
        <w:tc>
          <w:tcPr>
            <w:tcW w:type="dxa" w:w="381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Sulphur (S) </w:t>
            </w:r>
          </w:p>
        </w:tc>
        <w:tc>
          <w:tcPr>
            <w:tcW w:type="dxa" w:w="11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&lt; 0,0050 </w:t>
            </w:r>
          </w:p>
        </w:tc>
        <w:tc>
          <w:tcPr>
            <w:tcW w:type="dxa" w:w="4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% </w:t>
            </w:r>
          </w:p>
        </w:tc>
      </w:tr>
      <w:tr>
        <w:trPr>
          <w:cantSplit w:val="false"/>
        </w:trPr>
        <w:tc>
          <w:tcPr>
            <w:tcW w:type="dxa" w:w="381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Chromium (Cr) </w:t>
            </w:r>
          </w:p>
        </w:tc>
        <w:tc>
          <w:tcPr>
            <w:tcW w:type="dxa" w:w="11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&lt; 0,0010 </w:t>
            </w:r>
          </w:p>
        </w:tc>
        <w:tc>
          <w:tcPr>
            <w:tcW w:type="dxa" w:w="4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% </w:t>
            </w:r>
          </w:p>
        </w:tc>
      </w:tr>
      <w:tr>
        <w:trPr>
          <w:cantSplit w:val="false"/>
        </w:trPr>
        <w:tc>
          <w:tcPr>
            <w:tcW w:type="dxa" w:w="381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Chloride (Cl) </w:t>
            </w:r>
          </w:p>
        </w:tc>
        <w:tc>
          <w:tcPr>
            <w:tcW w:type="dxa" w:w="11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&lt; 0,0010 </w:t>
            </w:r>
          </w:p>
        </w:tc>
        <w:tc>
          <w:tcPr>
            <w:tcW w:type="dxa" w:w="4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% </w:t>
            </w:r>
          </w:p>
        </w:tc>
      </w:tr>
      <w:tr>
        <w:trPr>
          <w:cantSplit w:val="false"/>
        </w:trPr>
        <w:tc>
          <w:tcPr>
            <w:tcW w:type="dxa" w:w="381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Cadmium (Cd) </w:t>
            </w:r>
          </w:p>
        </w:tc>
        <w:tc>
          <w:tcPr>
            <w:tcW w:type="dxa" w:w="11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&lt; 0,0005 </w:t>
            </w:r>
          </w:p>
        </w:tc>
        <w:tc>
          <w:tcPr>
            <w:tcW w:type="dxa" w:w="4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% </w:t>
            </w:r>
          </w:p>
        </w:tc>
      </w:tr>
      <w:tr>
        <w:trPr>
          <w:cantSplit w:val="false"/>
        </w:trPr>
        <w:tc>
          <w:tcPr>
            <w:tcW w:type="dxa" w:w="381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Insoluble in H2O </w:t>
            </w:r>
          </w:p>
        </w:tc>
        <w:tc>
          <w:tcPr>
            <w:tcW w:type="dxa" w:w="116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&lt; 0,05 </w:t>
            </w:r>
          </w:p>
        </w:tc>
        <w:tc>
          <w:tcPr>
            <w:tcW w:type="dxa" w:w="4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283" w:before="0"/>
              <w:contextualSpacing w:val="false"/>
            </w:pPr>
            <w:r>
              <w:rPr>
                <w:sz w:val="23"/>
                <w:lang w:val="en-GB"/>
              </w:rPr>
              <w:t xml:space="preserve">% </w:t>
            </w:r>
          </w:p>
        </w:tc>
      </w:tr>
    </w:tbl>
    <w:p>
      <w:pPr>
        <w:pStyle w:val="style16"/>
      </w:pPr>
      <w:r>
        <w:rPr/>
        <w:t> 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 w:val="false"/>
      <w:tabs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cs-CZ"/>
    </w:rPr>
  </w:style>
  <w:style w:styleId="style15" w:type="paragraph">
    <w:name w:val="Nadpis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ělo textu"/>
    <w:basedOn w:val="style0"/>
    <w:next w:val="style16"/>
    <w:pPr>
      <w:spacing w:after="120" w:before="0"/>
      <w:contextualSpacing w:val="false"/>
    </w:pPr>
    <w:rPr/>
  </w:style>
  <w:style w:styleId="style17" w:type="paragraph">
    <w:name w:val="Seznam"/>
    <w:basedOn w:val="style16"/>
    <w:next w:val="style17"/>
    <w:pPr/>
    <w:rPr>
      <w:rFonts w:cs="Mangal"/>
    </w:rPr>
  </w:style>
  <w:style w:styleId="style18" w:type="paragraph">
    <w:name w:val="Popisek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Rejstřík"/>
    <w:basedOn w:val="style0"/>
    <w:next w:val="style19"/>
    <w:pPr>
      <w:suppressLineNumbers/>
    </w:pPr>
    <w:rPr>
      <w:rFonts w:cs="Mangal"/>
    </w:rPr>
  </w:style>
  <w:style w:styleId="style20" w:type="paragraph">
    <w:name w:val="Obsah tabulky"/>
    <w:basedOn w:val="style0"/>
    <w:next w:val="style20"/>
    <w:pPr>
      <w:suppressLineNumbers/>
    </w:pPr>
    <w:rPr/>
  </w:style>
  <w:style w:styleId="style21" w:type="paragraph">
    <w:name w:val="Nadpis tabulky"/>
    <w:basedOn w:val="style20"/>
    <w:next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2014-11-26T09:37:35.17Z</dcterms:created>
  <cp:revision>0</cp:revision>
</cp:coreProperties>
</file>