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D" w:rsidRPr="006A0814" w:rsidRDefault="006A0814">
      <w:pPr>
        <w:rPr>
          <w:lang w:val="cs-CZ"/>
        </w:rPr>
      </w:pPr>
      <w:r w:rsidRPr="006A0814">
        <w:rPr>
          <w:lang w:val="cs-CZ"/>
        </w:rPr>
        <w:t>Texty překladu mohou obsahovat i několik receptů na přípravu pokrmů, pokud se jedná o kuchyňské spotřebiče.</w:t>
      </w:r>
    </w:p>
    <w:p w:rsidR="007E7EE2" w:rsidRDefault="007E7EE2"/>
    <w:p w:rsidR="007E7EE2" w:rsidRDefault="007E7EE2"/>
    <w:p w:rsidR="007E7EE2" w:rsidRPr="00E16109" w:rsidRDefault="007E7EE2" w:rsidP="007E7EE2">
      <w:pPr>
        <w:pStyle w:val="petit-BInadp"/>
      </w:pPr>
      <w:r w:rsidRPr="00E16109">
        <w:t>Plněné omelety (2 porce)</w:t>
      </w:r>
    </w:p>
    <w:p w:rsidR="007E7EE2" w:rsidRPr="00E16109" w:rsidRDefault="007E7EE2" w:rsidP="007E7EE2">
      <w:pPr>
        <w:pStyle w:val="petit"/>
      </w:pPr>
      <w:r w:rsidRPr="00E16109">
        <w:t>Přísady:</w:t>
      </w:r>
    </w:p>
    <w:p w:rsidR="007E7EE2" w:rsidRPr="00E16109" w:rsidRDefault="007E7EE2" w:rsidP="007E7EE2">
      <w:pPr>
        <w:pStyle w:val="petit"/>
      </w:pPr>
      <w:r w:rsidRPr="00E16109">
        <w:t>3 celá vejce</w:t>
      </w:r>
    </w:p>
    <w:p w:rsidR="007E7EE2" w:rsidRPr="00E16109" w:rsidRDefault="007E7EE2" w:rsidP="007E7EE2">
      <w:pPr>
        <w:pStyle w:val="petit"/>
      </w:pPr>
      <w:r w:rsidRPr="00E16109">
        <w:t>20 ml plnotučného mléka</w:t>
      </w:r>
    </w:p>
    <w:p w:rsidR="007E7EE2" w:rsidRPr="00E16109" w:rsidRDefault="007E7EE2" w:rsidP="007E7EE2">
      <w:pPr>
        <w:pStyle w:val="petit"/>
      </w:pPr>
      <w:r w:rsidRPr="00E16109">
        <w:t>1 špetka soli</w:t>
      </w:r>
    </w:p>
    <w:p w:rsidR="007E7EE2" w:rsidRPr="00E16109" w:rsidRDefault="007E7EE2" w:rsidP="007E7EE2">
      <w:pPr>
        <w:pStyle w:val="petit"/>
      </w:pPr>
      <w:r w:rsidRPr="00E16109">
        <w:t>1 polévková lžíce st</w:t>
      </w:r>
      <w:r>
        <w:t>r</w:t>
      </w:r>
      <w:r w:rsidRPr="00E16109">
        <w:t>ouhaného parmezánu</w:t>
      </w:r>
    </w:p>
    <w:p w:rsidR="007E7EE2" w:rsidRPr="00E16109" w:rsidRDefault="007E7EE2" w:rsidP="007E7EE2">
      <w:pPr>
        <w:pStyle w:val="petit"/>
      </w:pPr>
      <w:r w:rsidRPr="00E16109">
        <w:t>2 plátky opečené šunky</w:t>
      </w:r>
    </w:p>
    <w:p w:rsidR="007E7EE2" w:rsidRDefault="007E7EE2" w:rsidP="007E7EE2">
      <w:pPr>
        <w:pStyle w:val="petit"/>
      </w:pPr>
      <w:r w:rsidRPr="00E16109">
        <w:t xml:space="preserve">2 plátky sýru </w:t>
      </w:r>
      <w:proofErr w:type="spellStart"/>
      <w:r w:rsidRPr="00E16109">
        <w:t>fontina</w:t>
      </w:r>
      <w:proofErr w:type="spellEnd"/>
    </w:p>
    <w:p w:rsidR="007E7EE2" w:rsidRPr="00533F28" w:rsidRDefault="007E7EE2" w:rsidP="007E7EE2">
      <w:pPr>
        <w:pStyle w:val="petit"/>
        <w:rPr>
          <w:sz w:val="6"/>
          <w:szCs w:val="6"/>
        </w:rPr>
      </w:pPr>
    </w:p>
    <w:p w:rsidR="007E7EE2" w:rsidRPr="00E16109" w:rsidRDefault="007E7EE2" w:rsidP="007E7EE2">
      <w:pPr>
        <w:pStyle w:val="petit"/>
      </w:pPr>
      <w:r w:rsidRPr="00E16109">
        <w:t>Vejce rozklepněte do misky a rozšlehejte je spolu s mlékem, solí a sýrem.</w:t>
      </w:r>
    </w:p>
    <w:p w:rsidR="007E7EE2" w:rsidRPr="00E16109" w:rsidRDefault="007E7EE2" w:rsidP="007E7EE2">
      <w:pPr>
        <w:pStyle w:val="petit"/>
      </w:pPr>
      <w:r w:rsidRPr="00E16109">
        <w:t xml:space="preserve">Zapněte </w:t>
      </w:r>
      <w:proofErr w:type="spellStart"/>
      <w:r w:rsidRPr="00E16109">
        <w:t>zapékač</w:t>
      </w:r>
      <w:proofErr w:type="spellEnd"/>
      <w:r w:rsidRPr="00E16109">
        <w:t xml:space="preserve"> a vyčkejte, dokud nezhasne zelená kontrolka rozehřívání; pak otevřete vyhřátou ploténku a obě její dutiny do poloviny zalijte rozšlehanou vaječnou směsí. Na nalitou směs položte vždy po plátku opečené šunky a plátku sýra a svrchu zalijte zbytkem vaječné směsi. Ploténku uzavřete a nechte </w:t>
      </w:r>
      <w:r w:rsidRPr="001F6131">
        <w:rPr>
          <w:spacing w:val="-2"/>
        </w:rPr>
        <w:t>zapékat alespoň 7 minut nebo do zlatova. Omelety vyndejte dřevěnou nebo umělohmotnou obracečkou a ještě</w:t>
      </w:r>
      <w:r w:rsidRPr="00E16109">
        <w:t xml:space="preserve"> teplé servírujte.</w:t>
      </w:r>
    </w:p>
    <w:p w:rsidR="007E7EE2" w:rsidRDefault="007E7EE2"/>
    <w:p w:rsidR="0070076D" w:rsidRDefault="0070076D">
      <w:bookmarkStart w:id="0" w:name="_GoBack"/>
      <w:bookmarkEnd w:id="0"/>
    </w:p>
    <w:p w:rsidR="0070076D" w:rsidRPr="004708BA" w:rsidRDefault="0070076D" w:rsidP="0070076D">
      <w:pPr>
        <w:pStyle w:val="Verzlky12ArNar"/>
      </w:pPr>
      <w:r w:rsidRPr="00C154DB">
        <w:t xml:space="preserve">Než </w:t>
      </w:r>
      <w:r>
        <w:t>z</w:t>
      </w:r>
      <w:r w:rsidRPr="00C154DB">
        <w:t xml:space="preserve">ačnete </w:t>
      </w:r>
      <w:r w:rsidRPr="00AD4029">
        <w:t>výrobek</w:t>
      </w:r>
      <w:r w:rsidRPr="00C154DB">
        <w:t xml:space="preserve"> </w:t>
      </w:r>
      <w:r w:rsidRPr="00B64B1B">
        <w:t>používat</w:t>
      </w:r>
      <w:r w:rsidRPr="00C154DB">
        <w:t>, přečt</w:t>
      </w:r>
      <w:r w:rsidRPr="00C154DB">
        <w:t>ě</w:t>
      </w:r>
      <w:r w:rsidRPr="00C154DB">
        <w:t>te si tyto pokyny.</w:t>
      </w:r>
    </w:p>
    <w:p w:rsidR="0070076D" w:rsidRDefault="0070076D" w:rsidP="0070076D">
      <w:pPr>
        <w:pStyle w:val="odr-sezn-bezp-pokyny"/>
      </w:pPr>
      <w:r w:rsidRPr="00CB4B21">
        <w:rPr>
          <w:spacing w:val="-2"/>
        </w:rPr>
        <w:t>Spotřebič je určen pouze pro používání v domácnosti a nemůže sloužit ke komer</w:t>
      </w:r>
      <w:r w:rsidRPr="00CB4B21">
        <w:rPr>
          <w:spacing w:val="-2"/>
        </w:rPr>
        <w:softHyphen/>
      </w:r>
      <w:r>
        <w:t>čním a průmy</w:t>
      </w:r>
      <w:r>
        <w:t>s</w:t>
      </w:r>
      <w:r>
        <w:t>lovým účelům.</w:t>
      </w:r>
    </w:p>
    <w:p w:rsidR="0070076D" w:rsidRDefault="0070076D" w:rsidP="0070076D">
      <w:pPr>
        <w:pStyle w:val="odr-sezn-bezp-pokyny"/>
      </w:pPr>
      <w:r>
        <w:t>Odmítáme jakoukoli odpovědnost za následky nesprávného zacházení se sp</w:t>
      </w:r>
      <w:r>
        <w:t>o</w:t>
      </w:r>
      <w:r>
        <w:t>třebičem nebo za jeho užití pro jiné účely, než jsou uvedené v tomto návodu.</w:t>
      </w:r>
    </w:p>
    <w:p w:rsidR="0070076D" w:rsidRDefault="0070076D" w:rsidP="0070076D">
      <w:pPr>
        <w:pStyle w:val="odr-sezn-bezp-pokyny"/>
      </w:pPr>
      <w:r>
        <w:t>Doporučujeme uschovat si původní krabici a obalové materiály. Je-li výrobek odeslaný do autorizovaného servisního střediska nevhodně zabalen a při př</w:t>
      </w:r>
      <w:r>
        <w:t>e</w:t>
      </w:r>
      <w:r>
        <w:t>pravě dojde újmy, nebude takto vzniklé poškození bráno jako předmět bezpla</w:t>
      </w:r>
      <w:r>
        <w:t>t</w:t>
      </w:r>
      <w:r>
        <w:t>ného servisu.</w:t>
      </w:r>
    </w:p>
    <w:p w:rsidR="0070076D" w:rsidRDefault="0070076D" w:rsidP="0070076D">
      <w:pPr>
        <w:pStyle w:val="odr-sezn-bezp-pokyny"/>
      </w:pPr>
      <w:r>
        <w:t xml:space="preserve">Tento výrobek splňuje požadavky </w:t>
      </w:r>
      <w:r w:rsidRPr="00490857">
        <w:t>směrnice 2006/95/</w:t>
      </w:r>
      <w:proofErr w:type="spellStart"/>
      <w:r w:rsidRPr="00490857">
        <w:t>EC</w:t>
      </w:r>
      <w:proofErr w:type="spellEnd"/>
      <w:r w:rsidRPr="00490857">
        <w:t xml:space="preserve"> a směrnice </w:t>
      </w:r>
      <w:proofErr w:type="spellStart"/>
      <w:r w:rsidRPr="00490857">
        <w:t>EMC</w:t>
      </w:r>
      <w:proofErr w:type="spellEnd"/>
      <w:r w:rsidRPr="00822C6D">
        <w:t xml:space="preserve"> 2004/108/</w:t>
      </w:r>
      <w:proofErr w:type="spellStart"/>
      <w:r w:rsidRPr="00822C6D">
        <w:t>EC</w:t>
      </w:r>
      <w:proofErr w:type="spellEnd"/>
      <w:r w:rsidRPr="00822C6D">
        <w:t>.</w:t>
      </w:r>
    </w:p>
    <w:p w:rsidR="0070076D" w:rsidRDefault="0070076D" w:rsidP="0070076D">
      <w:pPr>
        <w:pStyle w:val="odr-sezn-bezp-pokyny"/>
      </w:pPr>
      <w:r>
        <w:t>Tento spotřebič smí být používán osobami se sníženými f</w:t>
      </w:r>
      <w:r>
        <w:t>y</w:t>
      </w:r>
      <w:r>
        <w:t>zickými, smyslovými či mentálními schopnostmi nebo osobami bez odpovídajících zkušeností či zn</w:t>
      </w:r>
      <w:r>
        <w:t>a</w:t>
      </w:r>
      <w:r>
        <w:t>lostí, avšak jedině v případě, že pracují pod dohledem osoby odpovědné za j</w:t>
      </w:r>
      <w:r>
        <w:t>e</w:t>
      </w:r>
      <w:r>
        <w:t>jich bezpečnost nebo byly poučeny o používání spotřebiče a možných rizicích s tím spojených, a daným poučením rozumí.</w:t>
      </w:r>
    </w:p>
    <w:p w:rsidR="0070076D" w:rsidRPr="00270D19" w:rsidRDefault="0070076D" w:rsidP="0070076D">
      <w:pPr>
        <w:pStyle w:val="skupvstr"/>
      </w:pPr>
      <w:r>
        <w:rPr>
          <w:noProof/>
          <w:lang w:eastAsia="cs-CZ" w:bidi="ar-SA"/>
        </w:rPr>
        <w:drawing>
          <wp:inline distT="0" distB="0" distL="0" distR="0">
            <wp:extent cx="230505" cy="207010"/>
            <wp:effectExtent l="0" t="0" r="0" b="2540"/>
            <wp:docPr id="2" name="Obrázek 2" descr="i-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ot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0D19">
        <w:t>Výstrahy týkající se dětí</w:t>
      </w:r>
    </w:p>
    <w:p w:rsidR="0070076D" w:rsidRDefault="0070076D" w:rsidP="0070076D">
      <w:pPr>
        <w:pStyle w:val="odr-sezn-bezp-pokyny"/>
      </w:pPr>
      <w:r w:rsidRPr="00A84BEF">
        <w:t>Tento spotřebič smí být používán dětmi ve věku od 8 let, avšak jedině za pře</w:t>
      </w:r>
      <w:r w:rsidRPr="00A84BEF">
        <w:t>d</w:t>
      </w:r>
      <w:r w:rsidRPr="00CB4B21">
        <w:rPr>
          <w:spacing w:val="-2"/>
        </w:rPr>
        <w:t>pokladu, že pracují pod dohledem odpovědné osoby nebo jsou předem pouč</w:t>
      </w:r>
      <w:r w:rsidRPr="00CB4B21">
        <w:rPr>
          <w:spacing w:val="-2"/>
        </w:rPr>
        <w:t>e</w:t>
      </w:r>
      <w:r w:rsidRPr="00CB4B21">
        <w:rPr>
          <w:spacing w:val="-2"/>
        </w:rPr>
        <w:t>ny</w:t>
      </w:r>
      <w:r w:rsidRPr="00A84BEF">
        <w:t xml:space="preserve"> o bezpečném používání spotřebiče </w:t>
      </w:r>
      <w:r>
        <w:t>a jsou si vědomy možných rizik.</w:t>
      </w:r>
    </w:p>
    <w:p w:rsidR="0070076D" w:rsidRDefault="0070076D" w:rsidP="0070076D">
      <w:pPr>
        <w:pStyle w:val="odr-sezn-bezp-pokyny"/>
      </w:pPr>
      <w:r w:rsidRPr="00A84BEF">
        <w:t>Dohlédněte na děti, aby si se spotřebičem n</w:t>
      </w:r>
      <w:r>
        <w:t>ehrály.</w:t>
      </w:r>
    </w:p>
    <w:p w:rsidR="0070076D" w:rsidRDefault="0070076D" w:rsidP="0070076D">
      <w:pPr>
        <w:pStyle w:val="odr-sezn-bezp-pokyny"/>
      </w:pPr>
      <w:r w:rsidRPr="00CB4B21">
        <w:rPr>
          <w:spacing w:val="-2"/>
        </w:rPr>
        <w:t>Děti nesmí provádět čištění a údržbu, ledaže by pracovaly pod dohledem odp</w:t>
      </w:r>
      <w:r w:rsidRPr="00CB4B21">
        <w:rPr>
          <w:spacing w:val="-2"/>
        </w:rPr>
        <w:t>o</w:t>
      </w:r>
      <w:r>
        <w:t>vědné osoby</w:t>
      </w:r>
      <w:r w:rsidRPr="00A84BEF">
        <w:t>.</w:t>
      </w:r>
    </w:p>
    <w:p w:rsidR="0070076D" w:rsidRDefault="0070076D" w:rsidP="0070076D">
      <w:pPr>
        <w:pStyle w:val="odr-sezn-bezp-pokyny"/>
      </w:pPr>
      <w:r>
        <w:t>Obalové materiály představují pro děti potenciální nebezpečí, proto je nikdy nenech</w:t>
      </w:r>
      <w:r>
        <w:t>á</w:t>
      </w:r>
      <w:r>
        <w:t>vejte v jejich dosahu.</w:t>
      </w:r>
    </w:p>
    <w:p w:rsidR="0070076D" w:rsidRDefault="0070076D" w:rsidP="0070076D">
      <w:pPr>
        <w:pStyle w:val="odr-sezn-bezp-pokyny"/>
      </w:pPr>
      <w:r w:rsidRPr="005D295F">
        <w:t>Před likvidací vysloužilého spotřebiče se doporučuje znemožnit jeho provoz uskřípnutím přívodního kabelu a rovněž zajistit všechny potenciálně nebezpe</w:t>
      </w:r>
      <w:r w:rsidRPr="005D295F">
        <w:t>č</w:t>
      </w:r>
      <w:r w:rsidRPr="005D295F">
        <w:t>né součásti tak, aby při pozdější manipulaci nemohlo dojít k újmě na zdraví, zejména v případě, že by si se spotřebičem nebo jeho součástmi hrály děti.</w:t>
      </w:r>
    </w:p>
    <w:p w:rsidR="0070076D" w:rsidRPr="00436048" w:rsidRDefault="0070076D" w:rsidP="0070076D">
      <w:pPr>
        <w:pStyle w:val="skupvstr"/>
      </w:pPr>
      <w:r>
        <w:rPr>
          <w:noProof/>
          <w:lang w:eastAsia="cs-CZ" w:bidi="ar-SA"/>
        </w:rPr>
        <w:drawing>
          <wp:inline distT="0" distB="0" distL="0" distR="0">
            <wp:extent cx="230505" cy="207010"/>
            <wp:effectExtent l="0" t="0" r="0" b="2540"/>
            <wp:docPr id="1" name="Obrázek 1" descr="i-electr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-electri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6048">
        <w:t>Výstrahy týkající se elektřiny</w:t>
      </w:r>
    </w:p>
    <w:p w:rsidR="0070076D" w:rsidRPr="00A14A91" w:rsidRDefault="0070076D" w:rsidP="0070076D">
      <w:pPr>
        <w:pStyle w:val="odr-sezn-bezp-pokyny"/>
      </w:pPr>
      <w:r w:rsidRPr="00CB4B21">
        <w:rPr>
          <w:spacing w:val="-2"/>
        </w:rPr>
        <w:t>Žehličku ani její přívodní kabel nenechávejte v dosahu dětí mladších 8 let, p</w:t>
      </w:r>
      <w:r w:rsidRPr="00CB4B21">
        <w:rPr>
          <w:spacing w:val="-2"/>
        </w:rPr>
        <w:t>o</w:t>
      </w:r>
      <w:r w:rsidRPr="00CB4B21">
        <w:rPr>
          <w:spacing w:val="-2"/>
        </w:rPr>
        <w:t>kud</w:t>
      </w:r>
      <w:r w:rsidRPr="00A14A91">
        <w:t xml:space="preserve"> je žehlička zapojena do sítě nebo pokud ji necháváte vychladnout.</w:t>
      </w:r>
    </w:p>
    <w:p w:rsidR="0070076D" w:rsidRPr="00A14A91" w:rsidRDefault="0070076D" w:rsidP="0070076D">
      <w:pPr>
        <w:pStyle w:val="odr-sezn-bezp-pokyny"/>
      </w:pPr>
      <w:r w:rsidRPr="00A14A91">
        <w:t>Před plněním nádrže vodou spotřebič vždy vypněte a přívodní kabel odpojte ze síťové zásuvky.</w:t>
      </w:r>
    </w:p>
    <w:p w:rsidR="0070076D" w:rsidRPr="00A14A91" w:rsidRDefault="0070076D" w:rsidP="0070076D">
      <w:pPr>
        <w:pStyle w:val="odr-sezn-bezp-pokyny"/>
      </w:pPr>
      <w:r w:rsidRPr="00A14A91">
        <w:t>V zájmu předejití nehodám a škodám nepoužívejte prodlužovací kabely, které nejsou schválené výrobcem spotřebiče.</w:t>
      </w:r>
    </w:p>
    <w:p w:rsidR="0070076D" w:rsidRDefault="0070076D"/>
    <w:sectPr w:rsidR="0070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2B6"/>
    <w:multiLevelType w:val="hybridMultilevel"/>
    <w:tmpl w:val="4C386CB2"/>
    <w:lvl w:ilvl="0" w:tplc="34367692">
      <w:start w:val="1"/>
      <w:numFmt w:val="decimal"/>
      <w:pStyle w:val="norm-slov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3DAD"/>
    <w:multiLevelType w:val="hybridMultilevel"/>
    <w:tmpl w:val="80BE5B4C"/>
    <w:lvl w:ilvl="0" w:tplc="0400DC7A">
      <w:start w:val="1"/>
      <w:numFmt w:val="bullet"/>
      <w:pStyle w:val="odr-sezn-bezp-pokyny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2"/>
    <w:rsid w:val="006A0814"/>
    <w:rsid w:val="0070076D"/>
    <w:rsid w:val="007E7EE2"/>
    <w:rsid w:val="00AD201D"/>
    <w:rsid w:val="00BE34AD"/>
    <w:rsid w:val="00C2106B"/>
    <w:rsid w:val="00E43FDD"/>
    <w:rsid w:val="00E74450"/>
    <w:rsid w:val="00E95A2D"/>
    <w:rsid w:val="00E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A2D"/>
    <w:pPr>
      <w:spacing w:after="0" w:line="240" w:lineRule="auto"/>
    </w:pPr>
    <w:rPr>
      <w:rFonts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7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7EE2"/>
    <w:rPr>
      <w:rFonts w:ascii="Courier New" w:hAnsi="Courier New" w:cs="Courier New"/>
      <w:sz w:val="20"/>
      <w:szCs w:val="20"/>
      <w:lang w:eastAsia="cs-CZ"/>
    </w:rPr>
  </w:style>
  <w:style w:type="paragraph" w:customStyle="1" w:styleId="petit">
    <w:name w:val="petit"/>
    <w:basedOn w:val="Normln"/>
    <w:link w:val="petitChar"/>
    <w:qFormat/>
    <w:rsid w:val="007E7EE2"/>
    <w:pPr>
      <w:jc w:val="both"/>
    </w:pPr>
    <w:rPr>
      <w:rFonts w:ascii="Arial Narrow" w:hAnsi="Arial Narrow"/>
      <w:sz w:val="20"/>
      <w:szCs w:val="16"/>
      <w:lang w:val="cs-CZ" w:bidi="en-US"/>
    </w:rPr>
  </w:style>
  <w:style w:type="character" w:customStyle="1" w:styleId="petitChar">
    <w:name w:val="petit Char"/>
    <w:link w:val="petit"/>
    <w:rsid w:val="007E7EE2"/>
    <w:rPr>
      <w:rFonts w:ascii="Arial Narrow" w:hAnsi="Arial Narrow" w:cs="Times New Roman"/>
      <w:sz w:val="20"/>
      <w:szCs w:val="16"/>
      <w:lang w:bidi="en-US"/>
    </w:rPr>
  </w:style>
  <w:style w:type="paragraph" w:customStyle="1" w:styleId="petit-BInadp">
    <w:name w:val="petit-B+I nadp"/>
    <w:basedOn w:val="petit"/>
    <w:link w:val="petit-BInadpChar"/>
    <w:qFormat/>
    <w:rsid w:val="007E7EE2"/>
    <w:pPr>
      <w:spacing w:after="120"/>
    </w:pPr>
    <w:rPr>
      <w:b/>
      <w:i/>
    </w:rPr>
  </w:style>
  <w:style w:type="character" w:customStyle="1" w:styleId="petit-BInadpChar">
    <w:name w:val="petit-B+I nadp Char"/>
    <w:link w:val="petit-BInadp"/>
    <w:rsid w:val="007E7EE2"/>
    <w:rPr>
      <w:rFonts w:ascii="Arial Narrow" w:hAnsi="Arial Narrow" w:cs="Times New Roman"/>
      <w:b/>
      <w:i/>
      <w:sz w:val="20"/>
      <w:szCs w:val="16"/>
      <w:lang w:bidi="en-US"/>
    </w:rPr>
  </w:style>
  <w:style w:type="paragraph" w:customStyle="1" w:styleId="velk">
    <w:name w:val="velká"/>
    <w:basedOn w:val="Normln"/>
    <w:link w:val="velkChar"/>
    <w:qFormat/>
    <w:rsid w:val="007E7EE2"/>
    <w:pPr>
      <w:spacing w:before="160" w:after="100"/>
      <w:jc w:val="both"/>
    </w:pPr>
    <w:rPr>
      <w:rFonts w:ascii="Arial Narrow" w:hAnsi="Arial Narrow"/>
      <w:caps/>
      <w:sz w:val="24"/>
      <w:szCs w:val="24"/>
      <w:lang w:val="cs-CZ" w:bidi="en-US"/>
    </w:rPr>
  </w:style>
  <w:style w:type="paragraph" w:customStyle="1" w:styleId="norm-slov">
    <w:name w:val="norm-číslov"/>
    <w:basedOn w:val="Normln"/>
    <w:link w:val="norm-slovChar"/>
    <w:qFormat/>
    <w:rsid w:val="007E7EE2"/>
    <w:pPr>
      <w:numPr>
        <w:numId w:val="1"/>
      </w:numPr>
      <w:spacing w:after="30" w:line="218" w:lineRule="auto"/>
      <w:ind w:left="357" w:hanging="357"/>
      <w:jc w:val="both"/>
    </w:pPr>
    <w:rPr>
      <w:rFonts w:ascii="Arial Narrow" w:hAnsi="Arial Narrow"/>
      <w:spacing w:val="-2"/>
      <w:sz w:val="24"/>
      <w:szCs w:val="24"/>
      <w:lang w:val="cs-CZ" w:bidi="en-US"/>
    </w:rPr>
  </w:style>
  <w:style w:type="character" w:customStyle="1" w:styleId="velkChar">
    <w:name w:val="velká Char"/>
    <w:link w:val="velk"/>
    <w:rsid w:val="007E7EE2"/>
    <w:rPr>
      <w:rFonts w:ascii="Arial Narrow" w:hAnsi="Arial Narrow" w:cs="Times New Roman"/>
      <w:caps/>
      <w:sz w:val="24"/>
      <w:szCs w:val="24"/>
      <w:lang w:bidi="en-US"/>
    </w:rPr>
  </w:style>
  <w:style w:type="character" w:customStyle="1" w:styleId="norm-slovChar">
    <w:name w:val="norm-číslov Char"/>
    <w:link w:val="norm-slov"/>
    <w:rsid w:val="007E7EE2"/>
    <w:rPr>
      <w:rFonts w:ascii="Arial Narrow" w:hAnsi="Arial Narrow" w:cs="Times New Roman"/>
      <w:spacing w:val="-2"/>
      <w:sz w:val="24"/>
      <w:szCs w:val="24"/>
      <w:lang w:bidi="en-US"/>
    </w:rPr>
  </w:style>
  <w:style w:type="paragraph" w:customStyle="1" w:styleId="Verzlky12ArNar">
    <w:name w:val="Verzálky12ArNar"/>
    <w:basedOn w:val="Normln"/>
    <w:link w:val="Verzlky12ArNarChar"/>
    <w:qFormat/>
    <w:rsid w:val="0070076D"/>
    <w:pPr>
      <w:jc w:val="both"/>
    </w:pPr>
    <w:rPr>
      <w:rFonts w:ascii="Arial Narrow" w:hAnsi="Arial Narrow" w:cs="Arial"/>
      <w:b/>
      <w:caps/>
      <w:sz w:val="24"/>
      <w:szCs w:val="24"/>
      <w:lang w:val="cs-CZ" w:bidi="en-US"/>
    </w:rPr>
  </w:style>
  <w:style w:type="paragraph" w:customStyle="1" w:styleId="odr-sezn-bezp-pokyny">
    <w:name w:val="odr-sezn-bezp-pokyny"/>
    <w:basedOn w:val="Normln"/>
    <w:link w:val="odr-sezn-bezp-pokynyChar"/>
    <w:qFormat/>
    <w:rsid w:val="0070076D"/>
    <w:pPr>
      <w:numPr>
        <w:numId w:val="2"/>
      </w:numPr>
      <w:ind w:left="142" w:hanging="142"/>
      <w:jc w:val="both"/>
    </w:pPr>
    <w:rPr>
      <w:rFonts w:ascii="Arial Narrow" w:hAnsi="Arial Narrow" w:cs="Arial"/>
      <w:sz w:val="24"/>
      <w:szCs w:val="24"/>
      <w:lang w:val="cs-CZ" w:bidi="en-US"/>
    </w:rPr>
  </w:style>
  <w:style w:type="character" w:customStyle="1" w:styleId="Verzlky12ArNarChar">
    <w:name w:val="Verzálky12ArNar Char"/>
    <w:basedOn w:val="Standardnpsmoodstavce"/>
    <w:link w:val="Verzlky12ArNar"/>
    <w:rsid w:val="0070076D"/>
    <w:rPr>
      <w:rFonts w:ascii="Arial Narrow" w:hAnsi="Arial Narrow" w:cs="Arial"/>
      <w:b/>
      <w:caps/>
      <w:sz w:val="24"/>
      <w:szCs w:val="24"/>
      <w:lang w:bidi="en-US"/>
    </w:rPr>
  </w:style>
  <w:style w:type="character" w:customStyle="1" w:styleId="odr-sezn-bezp-pokynyChar">
    <w:name w:val="odr-sezn-bezp-pokyny Char"/>
    <w:basedOn w:val="Standardnpsmoodstavce"/>
    <w:link w:val="odr-sezn-bezp-pokyny"/>
    <w:rsid w:val="0070076D"/>
    <w:rPr>
      <w:rFonts w:ascii="Arial Narrow" w:hAnsi="Arial Narrow" w:cs="Arial"/>
      <w:sz w:val="24"/>
      <w:szCs w:val="24"/>
      <w:lang w:bidi="en-US"/>
    </w:rPr>
  </w:style>
  <w:style w:type="paragraph" w:customStyle="1" w:styleId="skupvstr">
    <w:name w:val="skup. výstr."/>
    <w:basedOn w:val="odr-sezn-bezp-pokyny"/>
    <w:link w:val="skupvstrChar"/>
    <w:qFormat/>
    <w:rsid w:val="0070076D"/>
    <w:pPr>
      <w:numPr>
        <w:numId w:val="0"/>
      </w:numPr>
      <w:jc w:val="center"/>
    </w:pPr>
    <w:rPr>
      <w:rFonts w:ascii="Arial Black" w:hAnsi="Arial Black"/>
      <w:w w:val="90"/>
    </w:rPr>
  </w:style>
  <w:style w:type="character" w:customStyle="1" w:styleId="skupvstrChar">
    <w:name w:val="skup. výstr. Char"/>
    <w:basedOn w:val="odr-sezn-bezp-pokynyChar"/>
    <w:link w:val="skupvstr"/>
    <w:rsid w:val="0070076D"/>
    <w:rPr>
      <w:rFonts w:ascii="Arial Black" w:hAnsi="Arial Black" w:cs="Arial"/>
      <w:w w:val="90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6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A2D"/>
    <w:pPr>
      <w:spacing w:after="0" w:line="240" w:lineRule="auto"/>
    </w:pPr>
    <w:rPr>
      <w:rFonts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7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7EE2"/>
    <w:rPr>
      <w:rFonts w:ascii="Courier New" w:hAnsi="Courier New" w:cs="Courier New"/>
      <w:sz w:val="20"/>
      <w:szCs w:val="20"/>
      <w:lang w:eastAsia="cs-CZ"/>
    </w:rPr>
  </w:style>
  <w:style w:type="paragraph" w:customStyle="1" w:styleId="petit">
    <w:name w:val="petit"/>
    <w:basedOn w:val="Normln"/>
    <w:link w:val="petitChar"/>
    <w:qFormat/>
    <w:rsid w:val="007E7EE2"/>
    <w:pPr>
      <w:jc w:val="both"/>
    </w:pPr>
    <w:rPr>
      <w:rFonts w:ascii="Arial Narrow" w:hAnsi="Arial Narrow"/>
      <w:sz w:val="20"/>
      <w:szCs w:val="16"/>
      <w:lang w:val="cs-CZ" w:bidi="en-US"/>
    </w:rPr>
  </w:style>
  <w:style w:type="character" w:customStyle="1" w:styleId="petitChar">
    <w:name w:val="petit Char"/>
    <w:link w:val="petit"/>
    <w:rsid w:val="007E7EE2"/>
    <w:rPr>
      <w:rFonts w:ascii="Arial Narrow" w:hAnsi="Arial Narrow" w:cs="Times New Roman"/>
      <w:sz w:val="20"/>
      <w:szCs w:val="16"/>
      <w:lang w:bidi="en-US"/>
    </w:rPr>
  </w:style>
  <w:style w:type="paragraph" w:customStyle="1" w:styleId="petit-BInadp">
    <w:name w:val="petit-B+I nadp"/>
    <w:basedOn w:val="petit"/>
    <w:link w:val="petit-BInadpChar"/>
    <w:qFormat/>
    <w:rsid w:val="007E7EE2"/>
    <w:pPr>
      <w:spacing w:after="120"/>
    </w:pPr>
    <w:rPr>
      <w:b/>
      <w:i/>
    </w:rPr>
  </w:style>
  <w:style w:type="character" w:customStyle="1" w:styleId="petit-BInadpChar">
    <w:name w:val="petit-B+I nadp Char"/>
    <w:link w:val="petit-BInadp"/>
    <w:rsid w:val="007E7EE2"/>
    <w:rPr>
      <w:rFonts w:ascii="Arial Narrow" w:hAnsi="Arial Narrow" w:cs="Times New Roman"/>
      <w:b/>
      <w:i/>
      <w:sz w:val="20"/>
      <w:szCs w:val="16"/>
      <w:lang w:bidi="en-US"/>
    </w:rPr>
  </w:style>
  <w:style w:type="paragraph" w:customStyle="1" w:styleId="velk">
    <w:name w:val="velká"/>
    <w:basedOn w:val="Normln"/>
    <w:link w:val="velkChar"/>
    <w:qFormat/>
    <w:rsid w:val="007E7EE2"/>
    <w:pPr>
      <w:spacing w:before="160" w:after="100"/>
      <w:jc w:val="both"/>
    </w:pPr>
    <w:rPr>
      <w:rFonts w:ascii="Arial Narrow" w:hAnsi="Arial Narrow"/>
      <w:caps/>
      <w:sz w:val="24"/>
      <w:szCs w:val="24"/>
      <w:lang w:val="cs-CZ" w:bidi="en-US"/>
    </w:rPr>
  </w:style>
  <w:style w:type="paragraph" w:customStyle="1" w:styleId="norm-slov">
    <w:name w:val="norm-číslov"/>
    <w:basedOn w:val="Normln"/>
    <w:link w:val="norm-slovChar"/>
    <w:qFormat/>
    <w:rsid w:val="007E7EE2"/>
    <w:pPr>
      <w:numPr>
        <w:numId w:val="1"/>
      </w:numPr>
      <w:spacing w:after="30" w:line="218" w:lineRule="auto"/>
      <w:ind w:left="357" w:hanging="357"/>
      <w:jc w:val="both"/>
    </w:pPr>
    <w:rPr>
      <w:rFonts w:ascii="Arial Narrow" w:hAnsi="Arial Narrow"/>
      <w:spacing w:val="-2"/>
      <w:sz w:val="24"/>
      <w:szCs w:val="24"/>
      <w:lang w:val="cs-CZ" w:bidi="en-US"/>
    </w:rPr>
  </w:style>
  <w:style w:type="character" w:customStyle="1" w:styleId="velkChar">
    <w:name w:val="velká Char"/>
    <w:link w:val="velk"/>
    <w:rsid w:val="007E7EE2"/>
    <w:rPr>
      <w:rFonts w:ascii="Arial Narrow" w:hAnsi="Arial Narrow" w:cs="Times New Roman"/>
      <w:caps/>
      <w:sz w:val="24"/>
      <w:szCs w:val="24"/>
      <w:lang w:bidi="en-US"/>
    </w:rPr>
  </w:style>
  <w:style w:type="character" w:customStyle="1" w:styleId="norm-slovChar">
    <w:name w:val="norm-číslov Char"/>
    <w:link w:val="norm-slov"/>
    <w:rsid w:val="007E7EE2"/>
    <w:rPr>
      <w:rFonts w:ascii="Arial Narrow" w:hAnsi="Arial Narrow" w:cs="Times New Roman"/>
      <w:spacing w:val="-2"/>
      <w:sz w:val="24"/>
      <w:szCs w:val="24"/>
      <w:lang w:bidi="en-US"/>
    </w:rPr>
  </w:style>
  <w:style w:type="paragraph" w:customStyle="1" w:styleId="Verzlky12ArNar">
    <w:name w:val="Verzálky12ArNar"/>
    <w:basedOn w:val="Normln"/>
    <w:link w:val="Verzlky12ArNarChar"/>
    <w:qFormat/>
    <w:rsid w:val="0070076D"/>
    <w:pPr>
      <w:jc w:val="both"/>
    </w:pPr>
    <w:rPr>
      <w:rFonts w:ascii="Arial Narrow" w:hAnsi="Arial Narrow" w:cs="Arial"/>
      <w:b/>
      <w:caps/>
      <w:sz w:val="24"/>
      <w:szCs w:val="24"/>
      <w:lang w:val="cs-CZ" w:bidi="en-US"/>
    </w:rPr>
  </w:style>
  <w:style w:type="paragraph" w:customStyle="1" w:styleId="odr-sezn-bezp-pokyny">
    <w:name w:val="odr-sezn-bezp-pokyny"/>
    <w:basedOn w:val="Normln"/>
    <w:link w:val="odr-sezn-bezp-pokynyChar"/>
    <w:qFormat/>
    <w:rsid w:val="0070076D"/>
    <w:pPr>
      <w:numPr>
        <w:numId w:val="2"/>
      </w:numPr>
      <w:ind w:left="142" w:hanging="142"/>
      <w:jc w:val="both"/>
    </w:pPr>
    <w:rPr>
      <w:rFonts w:ascii="Arial Narrow" w:hAnsi="Arial Narrow" w:cs="Arial"/>
      <w:sz w:val="24"/>
      <w:szCs w:val="24"/>
      <w:lang w:val="cs-CZ" w:bidi="en-US"/>
    </w:rPr>
  </w:style>
  <w:style w:type="character" w:customStyle="1" w:styleId="Verzlky12ArNarChar">
    <w:name w:val="Verzálky12ArNar Char"/>
    <w:basedOn w:val="Standardnpsmoodstavce"/>
    <w:link w:val="Verzlky12ArNar"/>
    <w:rsid w:val="0070076D"/>
    <w:rPr>
      <w:rFonts w:ascii="Arial Narrow" w:hAnsi="Arial Narrow" w:cs="Arial"/>
      <w:b/>
      <w:caps/>
      <w:sz w:val="24"/>
      <w:szCs w:val="24"/>
      <w:lang w:bidi="en-US"/>
    </w:rPr>
  </w:style>
  <w:style w:type="character" w:customStyle="1" w:styleId="odr-sezn-bezp-pokynyChar">
    <w:name w:val="odr-sezn-bezp-pokyny Char"/>
    <w:basedOn w:val="Standardnpsmoodstavce"/>
    <w:link w:val="odr-sezn-bezp-pokyny"/>
    <w:rsid w:val="0070076D"/>
    <w:rPr>
      <w:rFonts w:ascii="Arial Narrow" w:hAnsi="Arial Narrow" w:cs="Arial"/>
      <w:sz w:val="24"/>
      <w:szCs w:val="24"/>
      <w:lang w:bidi="en-US"/>
    </w:rPr>
  </w:style>
  <w:style w:type="paragraph" w:customStyle="1" w:styleId="skupvstr">
    <w:name w:val="skup. výstr."/>
    <w:basedOn w:val="odr-sezn-bezp-pokyny"/>
    <w:link w:val="skupvstrChar"/>
    <w:qFormat/>
    <w:rsid w:val="0070076D"/>
    <w:pPr>
      <w:numPr>
        <w:numId w:val="0"/>
      </w:numPr>
      <w:jc w:val="center"/>
    </w:pPr>
    <w:rPr>
      <w:rFonts w:ascii="Arial Black" w:hAnsi="Arial Black"/>
      <w:w w:val="90"/>
    </w:rPr>
  </w:style>
  <w:style w:type="character" w:customStyle="1" w:styleId="skupvstrChar">
    <w:name w:val="skup. výstr. Char"/>
    <w:basedOn w:val="odr-sezn-bezp-pokynyChar"/>
    <w:link w:val="skupvstr"/>
    <w:rsid w:val="0070076D"/>
    <w:rPr>
      <w:rFonts w:ascii="Arial Black" w:hAnsi="Arial Black" w:cs="Arial"/>
      <w:w w:val="90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2015-03-30T09:11:00Z</dcterms:created>
  <dcterms:modified xsi:type="dcterms:W3CDTF">2015-04-09T10:45:00Z</dcterms:modified>
</cp:coreProperties>
</file>